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D842" w14:textId="3717FDEE" w:rsidR="001F2AA2" w:rsidRPr="00CC6717" w:rsidRDefault="00601604">
      <w:pPr>
        <w:rPr>
          <w:b/>
          <w:bCs/>
          <w:sz w:val="32"/>
          <w:szCs w:val="32"/>
        </w:rPr>
      </w:pPr>
      <w:r w:rsidRPr="00CC6717">
        <w:rPr>
          <w:b/>
          <w:bCs/>
          <w:sz w:val="32"/>
          <w:szCs w:val="32"/>
        </w:rPr>
        <w:t>Effect of Lockdown on Cycle and Motor Traffic Flows</w:t>
      </w:r>
    </w:p>
    <w:p w14:paraId="2E755AA5" w14:textId="4F36F3AA" w:rsidR="00CC6717" w:rsidRPr="00CC6717" w:rsidRDefault="00CC6717">
      <w:pPr>
        <w:rPr>
          <w:sz w:val="24"/>
          <w:szCs w:val="24"/>
        </w:rPr>
      </w:pPr>
      <w:r w:rsidRPr="00CC6717">
        <w:rPr>
          <w:sz w:val="24"/>
          <w:szCs w:val="24"/>
        </w:rPr>
        <w:t>Report by Prof Bruce Lynn, Healthy Rides Co-ordinator, Southwark Cyclists, London Cycling Campaign.  Version 10/6/20.</w:t>
      </w:r>
    </w:p>
    <w:p w14:paraId="35E00AA2" w14:textId="774BE680" w:rsidR="006D3CBA" w:rsidRPr="00CC6717" w:rsidRDefault="006D3CBA">
      <w:pPr>
        <w:rPr>
          <w:b/>
          <w:bCs/>
          <w:sz w:val="28"/>
          <w:szCs w:val="28"/>
        </w:rPr>
      </w:pPr>
      <w:r w:rsidRPr="00CC6717">
        <w:rPr>
          <w:b/>
          <w:bCs/>
          <w:sz w:val="28"/>
          <w:szCs w:val="28"/>
        </w:rPr>
        <w:t>Key points</w:t>
      </w:r>
    </w:p>
    <w:p w14:paraId="35D6C672" w14:textId="40F1426D" w:rsidR="006D3CBA" w:rsidRPr="00316AC6" w:rsidRDefault="006D3CBA" w:rsidP="00316A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6AC6">
        <w:rPr>
          <w:sz w:val="24"/>
          <w:szCs w:val="24"/>
        </w:rPr>
        <w:t>Weekend cycling up 200% with 60-70% mode share.</w:t>
      </w:r>
    </w:p>
    <w:p w14:paraId="15C29A87" w14:textId="55D54BC6" w:rsidR="006D3CBA" w:rsidRPr="00316AC6" w:rsidRDefault="006D3CBA" w:rsidP="00316A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6AC6">
        <w:rPr>
          <w:sz w:val="24"/>
          <w:szCs w:val="24"/>
        </w:rPr>
        <w:t xml:space="preserve">Working week cycling down 33%, but rising. Motor traffic down 35% and </w:t>
      </w:r>
      <w:r w:rsidR="00AA6813">
        <w:rPr>
          <w:sz w:val="24"/>
          <w:szCs w:val="24"/>
        </w:rPr>
        <w:t>stable or very slowly increasing</w:t>
      </w:r>
      <w:r w:rsidRPr="00316AC6">
        <w:rPr>
          <w:sz w:val="24"/>
          <w:szCs w:val="24"/>
        </w:rPr>
        <w:t>.</w:t>
      </w:r>
    </w:p>
    <w:p w14:paraId="24D54878" w14:textId="416138CA" w:rsidR="006D3CBA" w:rsidRPr="00316AC6" w:rsidRDefault="006D3CBA" w:rsidP="00316A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6AC6">
        <w:rPr>
          <w:sz w:val="24"/>
          <w:szCs w:val="24"/>
        </w:rPr>
        <w:t>%</w:t>
      </w:r>
      <w:r w:rsidR="000D2950">
        <w:rPr>
          <w:sz w:val="24"/>
          <w:szCs w:val="24"/>
        </w:rPr>
        <w:t xml:space="preserve"> </w:t>
      </w:r>
      <w:r w:rsidRPr="00316AC6">
        <w:rPr>
          <w:sz w:val="24"/>
          <w:szCs w:val="24"/>
        </w:rPr>
        <w:t>female cyclists is sig</w:t>
      </w:r>
      <w:r w:rsidR="00AA6813">
        <w:rPr>
          <w:sz w:val="24"/>
          <w:szCs w:val="24"/>
        </w:rPr>
        <w:t>nificantly</w:t>
      </w:r>
      <w:r w:rsidRPr="00316AC6">
        <w:rPr>
          <w:sz w:val="24"/>
          <w:szCs w:val="24"/>
        </w:rPr>
        <w:t xml:space="preserve"> up on pre-lockd</w:t>
      </w:r>
      <w:r w:rsidR="000D2950">
        <w:rPr>
          <w:sz w:val="24"/>
          <w:szCs w:val="24"/>
        </w:rPr>
        <w:t>ow</w:t>
      </w:r>
      <w:r w:rsidRPr="00316AC6">
        <w:rPr>
          <w:sz w:val="24"/>
          <w:szCs w:val="24"/>
        </w:rPr>
        <w:t>n</w:t>
      </w:r>
    </w:p>
    <w:p w14:paraId="3409E85A" w14:textId="05E12716" w:rsidR="007445A8" w:rsidRPr="00316AC6" w:rsidRDefault="00316AC6" w:rsidP="00316A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6AC6">
        <w:rPr>
          <w:sz w:val="24"/>
          <w:szCs w:val="24"/>
        </w:rPr>
        <w:t>Commuter “transport” cycling (as opposed to “leisure” cycling) is possibly down as much as 70%.</w:t>
      </w:r>
    </w:p>
    <w:p w14:paraId="6990E9DD" w14:textId="6955C347" w:rsidR="00316AC6" w:rsidRPr="00316AC6" w:rsidRDefault="00316AC6" w:rsidP="00316A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6AC6">
        <w:rPr>
          <w:sz w:val="24"/>
          <w:szCs w:val="24"/>
        </w:rPr>
        <w:t xml:space="preserve">So some good, some bad news here. </w:t>
      </w:r>
      <w:r w:rsidR="000D2950">
        <w:rPr>
          <w:sz w:val="24"/>
          <w:szCs w:val="24"/>
        </w:rPr>
        <w:t>Leaves open the question of whether</w:t>
      </w:r>
      <w:r w:rsidRPr="00316AC6">
        <w:rPr>
          <w:sz w:val="24"/>
          <w:szCs w:val="24"/>
        </w:rPr>
        <w:t xml:space="preserve"> routine “transport” cycling </w:t>
      </w:r>
      <w:r w:rsidR="000D2950">
        <w:rPr>
          <w:sz w:val="24"/>
          <w:szCs w:val="24"/>
        </w:rPr>
        <w:t>will even</w:t>
      </w:r>
      <w:r w:rsidRPr="00316AC6">
        <w:rPr>
          <w:sz w:val="24"/>
          <w:szCs w:val="24"/>
        </w:rPr>
        <w:t xml:space="preserve"> recover to pre-lockdown levels when there is a full return to work and motor traffic increases.</w:t>
      </w:r>
    </w:p>
    <w:p w14:paraId="63645771" w14:textId="77777777" w:rsidR="006D3CBA" w:rsidRDefault="006D3CBA">
      <w:pPr>
        <w:rPr>
          <w:sz w:val="28"/>
          <w:szCs w:val="28"/>
        </w:rPr>
      </w:pPr>
    </w:p>
    <w:p w14:paraId="62B12E64" w14:textId="5A0E439D" w:rsidR="00601604" w:rsidRPr="00316AC6" w:rsidRDefault="00601604">
      <w:r w:rsidRPr="00316AC6">
        <w:t xml:space="preserve">Data collected on A200, Jamaica Rd, Dockhead. Past data Oct 2012 to January 2020. New data from 10 April to </w:t>
      </w:r>
      <w:r w:rsidR="00316AC6" w:rsidRPr="00316AC6">
        <w:t>10th</w:t>
      </w:r>
      <w:r w:rsidRPr="00316AC6">
        <w:t xml:space="preserve"> June 2020. Manual counts.</w:t>
      </w:r>
    </w:p>
    <w:p w14:paraId="122B8FD4" w14:textId="109391FF" w:rsidR="00601604" w:rsidRPr="00316AC6" w:rsidRDefault="00601604">
      <w:r w:rsidRPr="00316AC6">
        <w:t>Past data was principal</w:t>
      </w:r>
      <w:r w:rsidR="0044701B" w:rsidRPr="00316AC6">
        <w:t>l</w:t>
      </w:r>
      <w:r w:rsidRPr="00316AC6">
        <w:t>y peak hour</w:t>
      </w:r>
      <w:r w:rsidR="0044701B" w:rsidRPr="00316AC6">
        <w:t>.  Interpeak data calculated from TfL data on time distribution for Central London counts, 2017, Travel in London, Report 11, Fig 5.4</w:t>
      </w:r>
    </w:p>
    <w:p w14:paraId="0A9AE8D2" w14:textId="3B1DD9FB" w:rsidR="00D12443" w:rsidRPr="00316AC6" w:rsidRDefault="00D12443">
      <w:pPr>
        <w:rPr>
          <w:b/>
          <w:bCs/>
        </w:rPr>
      </w:pPr>
      <w:r w:rsidRPr="00316AC6">
        <w:rPr>
          <w:b/>
          <w:bCs/>
        </w:rPr>
        <w:t>Average Daily</w:t>
      </w:r>
      <w:r w:rsidR="00316AC6" w:rsidRPr="00316AC6">
        <w:rPr>
          <w:b/>
          <w:bCs/>
        </w:rPr>
        <w:t xml:space="preserve"> Cycle</w:t>
      </w:r>
      <w:r w:rsidRPr="00316AC6">
        <w:rPr>
          <w:b/>
          <w:bCs/>
        </w:rPr>
        <w:t xml:space="preserve"> Flows</w:t>
      </w:r>
    </w:p>
    <w:p w14:paraId="1BB6A657" w14:textId="429E789F" w:rsidR="00D12443" w:rsidRDefault="00A86029">
      <w:r>
        <w:tab/>
      </w:r>
      <w:r>
        <w:tab/>
        <w:t>Pre</w:t>
      </w:r>
      <w:r>
        <w:tab/>
        <w:t>During</w:t>
      </w:r>
      <w:r>
        <w:tab/>
        <w:t>% change</w:t>
      </w:r>
    </w:p>
    <w:p w14:paraId="60346A02" w14:textId="068603AC" w:rsidR="00A86029" w:rsidRDefault="00A86029">
      <w:r>
        <w:t>Weekday</w:t>
      </w:r>
      <w:r>
        <w:tab/>
        <w:t>6</w:t>
      </w:r>
      <w:r w:rsidR="009D6D0A">
        <w:t>050</w:t>
      </w:r>
      <w:r>
        <w:tab/>
        <w:t>4055</w:t>
      </w:r>
      <w:r>
        <w:tab/>
        <w:t>-</w:t>
      </w:r>
      <w:r w:rsidR="009D6D0A">
        <w:t>33</w:t>
      </w:r>
      <w:r>
        <w:t>%</w:t>
      </w:r>
    </w:p>
    <w:p w14:paraId="6829E812" w14:textId="2D652EAE" w:rsidR="00A86029" w:rsidRDefault="00A86029">
      <w:r>
        <w:t>Weekend</w:t>
      </w:r>
      <w:r>
        <w:tab/>
        <w:t>2042</w:t>
      </w:r>
      <w:r w:rsidR="00601604">
        <w:t>*</w:t>
      </w:r>
      <w:r>
        <w:tab/>
        <w:t>6160</w:t>
      </w:r>
      <w:r>
        <w:tab/>
        <w:t>+202%</w:t>
      </w:r>
    </w:p>
    <w:p w14:paraId="0DB3D453" w14:textId="63620023" w:rsidR="00601604" w:rsidRDefault="00601604" w:rsidP="00601604">
      <w:r>
        <w:t>*</w:t>
      </w:r>
      <w:r w:rsidRPr="00601604">
        <w:t xml:space="preserve"> </w:t>
      </w:r>
      <w:r>
        <w:t xml:space="preserve">Ratio Sat/Sun to Weekday, 0.30.  Used to estimate pre weekend flow.  0.3 factor comes from </w:t>
      </w:r>
      <w:r w:rsidRPr="00601604">
        <w:rPr>
          <w:rFonts w:ascii="Arial" w:hAnsi="Arial" w:cs="Arial"/>
          <w:sz w:val="20"/>
          <w:szCs w:val="20"/>
        </w:rPr>
        <w:t>Transport for London Surface Transport Traffic Analysis Centre.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TAC Traffic Note 3 – TfL Cordon and Screenline Surveys 1971-2011, </w:t>
      </w:r>
      <w:hyperlink r:id="rId5" w:history="1">
        <w:r w:rsidRPr="00164802">
          <w:rPr>
            <w:rStyle w:val="Hyperlink"/>
          </w:rPr>
          <w:t>http://content.tfl.gov.uk/traffic-note-3-cordon-and-screenline-surveys-2011.pdf</w:t>
        </w:r>
      </w:hyperlink>
    </w:p>
    <w:p w14:paraId="1DBCA440" w14:textId="62532475" w:rsidR="00601604" w:rsidRDefault="00601604" w:rsidP="00601604"/>
    <w:p w14:paraId="3535E5F2" w14:textId="2B2A9D55" w:rsidR="00A86029" w:rsidRPr="000D2950" w:rsidRDefault="001851E9">
      <w:pPr>
        <w:rPr>
          <w:b/>
          <w:bCs/>
        </w:rPr>
      </w:pPr>
      <w:r w:rsidRPr="000D2950">
        <w:rPr>
          <w:b/>
          <w:bCs/>
        </w:rPr>
        <w:t>Peak hour</w:t>
      </w:r>
      <w:r w:rsidR="00316AC6" w:rsidRPr="000D2950">
        <w:rPr>
          <w:b/>
          <w:bCs/>
        </w:rPr>
        <w:t xml:space="preserve"> cycle flows (per hour)</w:t>
      </w:r>
    </w:p>
    <w:p w14:paraId="7CCB877D" w14:textId="41CB8CE0" w:rsidR="001851E9" w:rsidRDefault="001851E9" w:rsidP="001851E9">
      <w:r>
        <w:tab/>
      </w:r>
      <w:r>
        <w:tab/>
        <w:t>Pre</w:t>
      </w:r>
      <w:r>
        <w:tab/>
        <w:t>During</w:t>
      </w:r>
    </w:p>
    <w:p w14:paraId="49EF3032" w14:textId="1B6400B8" w:rsidR="0031013B" w:rsidRDefault="001851E9" w:rsidP="001851E9">
      <w:r>
        <w:t>Weekday</w:t>
      </w:r>
      <w:r w:rsidR="0031013B">
        <w:t xml:space="preserve"> pm</w:t>
      </w:r>
      <w:r>
        <w:tab/>
      </w:r>
      <w:r w:rsidR="0031013B">
        <w:t>838</w:t>
      </w:r>
      <w:r>
        <w:tab/>
        <w:t>490</w:t>
      </w:r>
      <w:r w:rsidR="0031013B">
        <w:tab/>
        <w:t>-42%</w:t>
      </w:r>
    </w:p>
    <w:p w14:paraId="2719CF75" w14:textId="1B320A22" w:rsidR="001851E9" w:rsidRDefault="0031013B" w:rsidP="001851E9">
      <w:r>
        <w:t>Weekday am</w:t>
      </w:r>
      <w:r w:rsidR="001851E9">
        <w:tab/>
      </w:r>
      <w:r>
        <w:t>963</w:t>
      </w:r>
      <w:r>
        <w:tab/>
        <w:t>240</w:t>
      </w:r>
      <w:r>
        <w:tab/>
        <w:t>-75%</w:t>
      </w:r>
    </w:p>
    <w:p w14:paraId="24387786" w14:textId="540CE0E0" w:rsidR="001851E9" w:rsidRDefault="001851E9" w:rsidP="001851E9">
      <w:r>
        <w:t>Weekend</w:t>
      </w:r>
      <w:r>
        <w:tab/>
        <w:t>n/a</w:t>
      </w:r>
      <w:r>
        <w:tab/>
        <w:t>650</w:t>
      </w:r>
    </w:p>
    <w:p w14:paraId="534305DB" w14:textId="1CE293BB" w:rsidR="001851E9" w:rsidRDefault="009D6D0A">
      <w:r>
        <w:rPr>
          <w:noProof/>
        </w:rPr>
        <w:lastRenderedPageBreak/>
        <w:drawing>
          <wp:inline distT="0" distB="0" distL="0" distR="0" wp14:anchorId="6CE67E12" wp14:editId="6EADE9BE">
            <wp:extent cx="5508625" cy="31088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532" cy="313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A3C35" w14:textId="636878A1" w:rsidR="00316AC6" w:rsidRDefault="00316AC6">
      <w:r>
        <w:t>Note unusual time course of midweek flow</w:t>
      </w:r>
      <w:r w:rsidR="000D21E9">
        <w:t xml:space="preserve"> during lockdown</w:t>
      </w:r>
      <w:r>
        <w:t>.  Morning peak almost lost. See last section below for more discussion.</w:t>
      </w:r>
    </w:p>
    <w:p w14:paraId="632143EA" w14:textId="36882621" w:rsidR="001F2AA2" w:rsidRDefault="001F2AA2"/>
    <w:p w14:paraId="202B8B4B" w14:textId="52946CBB" w:rsidR="001F2AA2" w:rsidRPr="00316AC6" w:rsidRDefault="00605FF6">
      <w:pPr>
        <w:rPr>
          <w:b/>
          <w:bCs/>
        </w:rPr>
      </w:pPr>
      <w:r w:rsidRPr="00316AC6">
        <w:rPr>
          <w:b/>
          <w:bCs/>
        </w:rPr>
        <w:t xml:space="preserve">Weekday </w:t>
      </w:r>
      <w:r w:rsidR="001F2AA2" w:rsidRPr="00316AC6">
        <w:rPr>
          <w:b/>
          <w:bCs/>
        </w:rPr>
        <w:t>Motor traffic</w:t>
      </w:r>
    </w:p>
    <w:p w14:paraId="21C80ADA" w14:textId="31C49E31" w:rsidR="00605FF6" w:rsidRDefault="00605FF6">
      <w:r>
        <w:tab/>
      </w:r>
      <w:r>
        <w:tab/>
        <w:t>Eastbound</w:t>
      </w:r>
      <w:r>
        <w:tab/>
      </w:r>
      <w:r>
        <w:tab/>
      </w:r>
      <w:r>
        <w:tab/>
        <w:t>Westbound</w:t>
      </w:r>
      <w:r>
        <w:tab/>
      </w:r>
      <w:r>
        <w:tab/>
      </w:r>
      <w:r>
        <w:tab/>
        <w:t>Bidirectional</w:t>
      </w:r>
    </w:p>
    <w:p w14:paraId="39C0219B" w14:textId="6D46B6FA" w:rsidR="00605FF6" w:rsidRDefault="00605FF6">
      <w:r>
        <w:tab/>
      </w:r>
      <w:r>
        <w:tab/>
        <w:t>Pre</w:t>
      </w:r>
      <w:r>
        <w:tab/>
        <w:t>During</w:t>
      </w:r>
      <w:r>
        <w:tab/>
        <w:t>% change</w:t>
      </w:r>
      <w:r>
        <w:tab/>
        <w:t>Pre</w:t>
      </w:r>
      <w:r>
        <w:tab/>
        <w:t>During</w:t>
      </w:r>
      <w:r>
        <w:tab/>
        <w:t>% change</w:t>
      </w:r>
      <w:r>
        <w:tab/>
        <w:t>Pre</w:t>
      </w:r>
      <w:r>
        <w:tab/>
        <w:t>During</w:t>
      </w:r>
      <w:r>
        <w:tab/>
        <w:t>% change</w:t>
      </w:r>
    </w:p>
    <w:p w14:paraId="72C7C170" w14:textId="2E897C7B" w:rsidR="001F2AA2" w:rsidRDefault="00605FF6">
      <w:r>
        <w:t>Peak hour am</w:t>
      </w:r>
      <w:r>
        <w:tab/>
      </w:r>
      <w:r w:rsidR="00484D06">
        <w:t>273</w:t>
      </w:r>
      <w:r>
        <w:tab/>
        <w:t>(115)</w:t>
      </w:r>
      <w:r>
        <w:tab/>
      </w:r>
      <w:r w:rsidR="0055743B">
        <w:t xml:space="preserve"> n/a</w:t>
      </w:r>
      <w:r>
        <w:tab/>
      </w:r>
      <w:r>
        <w:tab/>
      </w:r>
      <w:r w:rsidR="00857B94">
        <w:t>468</w:t>
      </w:r>
      <w:r>
        <w:tab/>
        <w:t>289</w:t>
      </w:r>
      <w:r>
        <w:tab/>
      </w:r>
      <w:r w:rsidR="00484D06">
        <w:t>-38%</w:t>
      </w:r>
      <w:r>
        <w:tab/>
      </w:r>
      <w:r>
        <w:tab/>
      </w:r>
      <w:r w:rsidR="00484D06">
        <w:t>741</w:t>
      </w:r>
      <w:r>
        <w:tab/>
        <w:t>404</w:t>
      </w:r>
      <w:r w:rsidR="00484D06">
        <w:tab/>
        <w:t>-45%</w:t>
      </w:r>
    </w:p>
    <w:p w14:paraId="1C5826A1" w14:textId="365547E6" w:rsidR="00605FF6" w:rsidRDefault="00605FF6">
      <w:r>
        <w:t>Peak hour pm</w:t>
      </w:r>
      <w:r>
        <w:tab/>
      </w:r>
      <w:r w:rsidR="00857B94">
        <w:t>256</w:t>
      </w:r>
      <w:r>
        <w:tab/>
        <w:t>267</w:t>
      </w:r>
      <w:r>
        <w:tab/>
      </w:r>
      <w:r w:rsidR="00484D06">
        <w:t>+4%</w:t>
      </w:r>
      <w:r>
        <w:tab/>
      </w:r>
      <w:r>
        <w:tab/>
      </w:r>
      <w:r w:rsidR="00484D06">
        <w:t>318</w:t>
      </w:r>
      <w:r>
        <w:tab/>
        <w:t>189</w:t>
      </w:r>
      <w:r>
        <w:tab/>
      </w:r>
      <w:r w:rsidR="00484D06">
        <w:t>-41%</w:t>
      </w:r>
      <w:r>
        <w:tab/>
      </w:r>
      <w:r>
        <w:tab/>
      </w:r>
      <w:r w:rsidR="00484D06">
        <w:t>574</w:t>
      </w:r>
      <w:r>
        <w:tab/>
        <w:t>412</w:t>
      </w:r>
      <w:r>
        <w:tab/>
      </w:r>
      <w:r w:rsidR="00484D06">
        <w:t>-28%</w:t>
      </w:r>
    </w:p>
    <w:p w14:paraId="00B40F83" w14:textId="37E256C4" w:rsidR="00484D06" w:rsidRDefault="00D86F93">
      <w:r>
        <w:t>Daily total</w:t>
      </w:r>
      <w:r>
        <w:tab/>
        <w:t>4825</w:t>
      </w:r>
      <w:r>
        <w:tab/>
        <w:t>3818</w:t>
      </w:r>
      <w:r>
        <w:tab/>
        <w:t>-21%</w:t>
      </w:r>
      <w:r>
        <w:tab/>
      </w:r>
      <w:r>
        <w:tab/>
        <w:t>6313</w:t>
      </w:r>
      <w:r>
        <w:tab/>
        <w:t>3406</w:t>
      </w:r>
      <w:r>
        <w:tab/>
      </w:r>
      <w:r w:rsidR="002E66E0">
        <w:t>-46%</w:t>
      </w:r>
      <w:r w:rsidR="002E66E0">
        <w:tab/>
      </w:r>
      <w:r w:rsidR="002E66E0">
        <w:tab/>
        <w:t>11138</w:t>
      </w:r>
      <w:r w:rsidR="002E66E0">
        <w:tab/>
        <w:t>7224</w:t>
      </w:r>
      <w:r w:rsidR="002E66E0">
        <w:tab/>
        <w:t>-35%</w:t>
      </w:r>
    </w:p>
    <w:p w14:paraId="01276789" w14:textId="4CC0A2A7" w:rsidR="002E66E0" w:rsidRDefault="002E66E0">
      <w:r>
        <w:t xml:space="preserve">Close to figure from </w:t>
      </w:r>
      <w:r w:rsidR="00316AC6">
        <w:t xml:space="preserve">government’s </w:t>
      </w:r>
      <w:r>
        <w:t xml:space="preserve">Daily </w:t>
      </w:r>
      <w:r w:rsidR="00316AC6">
        <w:t>B</w:t>
      </w:r>
      <w:r>
        <w:t>riefing, -30 to -40%.</w:t>
      </w:r>
    </w:p>
    <w:p w14:paraId="4E97FE1A" w14:textId="37FC10AD" w:rsidR="00627583" w:rsidRDefault="00627583"/>
    <w:p w14:paraId="6B910F89" w14:textId="37CBBDBF" w:rsidR="006D3CBA" w:rsidRDefault="00316AC6">
      <w:r w:rsidRPr="00316AC6">
        <w:rPr>
          <w:b/>
          <w:bCs/>
        </w:rPr>
        <w:t>Cycling m</w:t>
      </w:r>
      <w:r w:rsidR="00627583" w:rsidRPr="00316AC6">
        <w:rPr>
          <w:b/>
          <w:bCs/>
        </w:rPr>
        <w:t>ode share</w:t>
      </w:r>
      <w:r>
        <w:rPr>
          <w:b/>
          <w:bCs/>
        </w:rPr>
        <w:t xml:space="preserve"> (% total traffic)</w:t>
      </w:r>
      <w:r w:rsidR="00627583">
        <w:t xml:space="preserve">. </w:t>
      </w:r>
    </w:p>
    <w:p w14:paraId="5C187F88" w14:textId="741F81CE" w:rsidR="00627583" w:rsidRDefault="004B260D">
      <w:r>
        <w:t>Midweek a</w:t>
      </w:r>
      <w:r w:rsidR="00627583">
        <w:t>t peaks pre lockdown, cycle mo</w:t>
      </w:r>
      <w:r>
        <w:t>d</w:t>
      </w:r>
      <w:r w:rsidR="00627583">
        <w:t>e share =&gt;50%.</w:t>
      </w:r>
      <w:r>
        <w:t xml:space="preserve">  Peak mode share during lockdown was only 30% at end April, beginning May, but has risen to 35% am and 55-60% pm.</w:t>
      </w:r>
      <w:r w:rsidR="006D3CBA">
        <w:t xml:space="preserve">  At weekends during the middle of the afternoon cycle mode share is 60-70% on good weather days</w:t>
      </w:r>
      <w:r w:rsidR="00AA6813">
        <w:t>, i.e. twice as many bicycles as motor vehicles.</w:t>
      </w:r>
    </w:p>
    <w:p w14:paraId="43500A3E" w14:textId="70A5D56C" w:rsidR="00232DD9" w:rsidRDefault="00232DD9"/>
    <w:p w14:paraId="24F97577" w14:textId="6188076F" w:rsidR="00232DD9" w:rsidRPr="00316AC6" w:rsidRDefault="00232DD9">
      <w:pPr>
        <w:rPr>
          <w:b/>
          <w:bCs/>
        </w:rPr>
      </w:pPr>
      <w:r w:rsidRPr="00316AC6">
        <w:rPr>
          <w:b/>
          <w:bCs/>
        </w:rPr>
        <w:t xml:space="preserve">East v West flows.  </w:t>
      </w:r>
    </w:p>
    <w:p w14:paraId="3A921A7F" w14:textId="25D0B0A0" w:rsidR="00232DD9" w:rsidRDefault="00232DD9">
      <w:r>
        <w:t xml:space="preserve">Weekdays. Pre lockdown flow pattern </w:t>
      </w:r>
      <w:r w:rsidR="00316AC6">
        <w:t>wa</w:t>
      </w:r>
      <w:r>
        <w:t>s VERY tidal, am peak Westbound ca 10 times eastbound</w:t>
      </w:r>
      <w:r w:rsidR="00316AC6">
        <w:t xml:space="preserve"> flow</w:t>
      </w:r>
      <w:r>
        <w:t xml:space="preserve">. At pm peak, </w:t>
      </w:r>
      <w:r w:rsidR="00696DB1">
        <w:t>ea</w:t>
      </w:r>
      <w:r>
        <w:t xml:space="preserve">stbound &gt;&gt; </w:t>
      </w:r>
      <w:r w:rsidR="00696DB1">
        <w:t>we</w:t>
      </w:r>
      <w:r>
        <w:t>stbound. During lockdown, E/W diffs not so ma</w:t>
      </w:r>
      <w:r w:rsidR="00627583">
        <w:t xml:space="preserve">rked, but still trend for greatest west flows am and east flows pm.  </w:t>
      </w:r>
      <w:r w:rsidR="003A225D">
        <w:t>Weekend pattern is similar in both directions.</w:t>
      </w:r>
    </w:p>
    <w:p w14:paraId="743C48D6" w14:textId="47C33586" w:rsidR="0071667D" w:rsidRDefault="0071667D"/>
    <w:p w14:paraId="6D85FAE2" w14:textId="77777777" w:rsidR="0071667D" w:rsidRPr="00696DB1" w:rsidRDefault="0071667D">
      <w:pPr>
        <w:rPr>
          <w:b/>
          <w:bCs/>
        </w:rPr>
      </w:pPr>
      <w:r w:rsidRPr="00696DB1">
        <w:rPr>
          <w:b/>
          <w:bCs/>
        </w:rPr>
        <w:lastRenderedPageBreak/>
        <w:t xml:space="preserve">Trends over time.  </w:t>
      </w:r>
    </w:p>
    <w:p w14:paraId="26E93238" w14:textId="109A88AA" w:rsidR="0071667D" w:rsidRDefault="0071667D">
      <w:r>
        <w:t xml:space="preserve">Cycle flows.  Sig linear slope. Pm peak, eastbound, </w:t>
      </w:r>
      <w:r w:rsidR="00696DB1">
        <w:t xml:space="preserve">gone from </w:t>
      </w:r>
      <w:r>
        <w:t>35% to 60% mode share.  Am peak westbound 30% to 40%.</w:t>
      </w:r>
      <w:r w:rsidR="00696DB1">
        <w:t xml:space="preserve"> </w:t>
      </w:r>
      <w:r>
        <w:t xml:space="preserve"> Motor flows show small</w:t>
      </w:r>
      <w:r w:rsidR="00E0255A">
        <w:t>, just</w:t>
      </w:r>
      <w:r>
        <w:t xml:space="preserve"> sig upward trend</w:t>
      </w:r>
      <w:r w:rsidR="00E0255A">
        <w:t xml:space="preserve">. </w:t>
      </w:r>
      <w:r w:rsidR="00232DD9">
        <w:t xml:space="preserve">Includes data to </w:t>
      </w:r>
      <w:r w:rsidR="00E0255A">
        <w:t>10</w:t>
      </w:r>
      <w:r w:rsidR="00232DD9" w:rsidRPr="00232DD9">
        <w:rPr>
          <w:vertAlign w:val="superscript"/>
        </w:rPr>
        <w:t>th</w:t>
      </w:r>
      <w:r w:rsidR="00232DD9">
        <w:t xml:space="preserve"> June.</w:t>
      </w:r>
    </w:p>
    <w:p w14:paraId="4063EEB5" w14:textId="555B37A7" w:rsidR="00232DD9" w:rsidRDefault="00696DB1">
      <w:r>
        <w:rPr>
          <w:noProof/>
        </w:rPr>
        <w:drawing>
          <wp:inline distT="0" distB="0" distL="0" distR="0" wp14:anchorId="2772D37E" wp14:editId="7B2849BC">
            <wp:extent cx="4572000" cy="35909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0DB3491-8328-410D-A5AF-6A79769B48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8D001F" w14:textId="7954CFA8" w:rsidR="00A86029" w:rsidRDefault="00A86029">
      <w:r>
        <w:tab/>
      </w:r>
      <w:r>
        <w:tab/>
      </w:r>
    </w:p>
    <w:p w14:paraId="59EB2EC8" w14:textId="62A9A7C7" w:rsidR="00D12443" w:rsidRPr="00E0255A" w:rsidRDefault="00B62F6F">
      <w:pPr>
        <w:rPr>
          <w:b/>
          <w:bCs/>
        </w:rPr>
      </w:pPr>
      <w:r w:rsidRPr="00E0255A">
        <w:rPr>
          <w:b/>
          <w:bCs/>
        </w:rPr>
        <w:t>Male/female differences</w:t>
      </w:r>
    </w:p>
    <w:p w14:paraId="2196751B" w14:textId="730ED89A" w:rsidR="00B62F6F" w:rsidRDefault="00B62F6F">
      <w:r>
        <w:t>2018 data am only 18.1% female riders.  7-9 am, weekday.</w:t>
      </w:r>
    </w:p>
    <w:p w14:paraId="1B988BC7" w14:textId="395CDF6A" w:rsidR="00B62F6F" w:rsidRDefault="00B62F6F">
      <w:r>
        <w:t>Du</w:t>
      </w:r>
      <w:r w:rsidR="000D2950">
        <w:t>ring</w:t>
      </w:r>
      <w:r>
        <w:t xml:space="preserve"> lockd</w:t>
      </w:r>
      <w:r w:rsidR="000D2950">
        <w:t>ow</w:t>
      </w:r>
      <w:r>
        <w:t>n 25.0%, same time w</w:t>
      </w:r>
      <w:r w:rsidR="000D2950">
        <w:t>ee</w:t>
      </w:r>
      <w:r>
        <w:t>kday, sig</w:t>
      </w:r>
      <w:r w:rsidR="003A225D">
        <w:t>nificantly</w:t>
      </w:r>
      <w:r>
        <w:t xml:space="preserve"> higher proportion (p=.02).</w:t>
      </w:r>
    </w:p>
    <w:p w14:paraId="192142B9" w14:textId="10DE1778" w:rsidR="00B62F6F" w:rsidRDefault="00B62F6F">
      <w:r>
        <w:t>For comparison, Q</w:t>
      </w:r>
      <w:r w:rsidR="003A225D">
        <w:t xml:space="preserve">uietway </w:t>
      </w:r>
      <w:r>
        <w:t>1 (pm peak) pre lockdown was 25.3%, close to lockdown Jam Rd value.</w:t>
      </w:r>
    </w:p>
    <w:p w14:paraId="2602C4E9" w14:textId="45F556EF" w:rsidR="00B62F6F" w:rsidRDefault="00B62F6F">
      <w:r>
        <w:t>Weekend cycling during lockd</w:t>
      </w:r>
      <w:r w:rsidR="000D2950">
        <w:t>ow</w:t>
      </w:r>
      <w:r>
        <w:t>n 34.6% female, sig higher than w</w:t>
      </w:r>
      <w:r w:rsidR="000D2950">
        <w:t>ee</w:t>
      </w:r>
      <w:r>
        <w:t>kday (27.1%, all times).</w:t>
      </w:r>
    </w:p>
    <w:p w14:paraId="4260F3CF" w14:textId="4F432F96" w:rsidR="00B62F6F" w:rsidRDefault="00B62F6F">
      <w:r>
        <w:t>Strong evidence for more female cyclists du</w:t>
      </w:r>
      <w:r w:rsidR="000D2950">
        <w:t>ring</w:t>
      </w:r>
      <w:r>
        <w:t xml:space="preserve"> lockdown. Increase at busy times weekday indicates new female cyclists </w:t>
      </w:r>
      <w:r w:rsidR="003A225D">
        <w:t>are using</w:t>
      </w:r>
      <w:r>
        <w:t xml:space="preserve"> busier roads du</w:t>
      </w:r>
      <w:r w:rsidR="000D2950">
        <w:t>ring</w:t>
      </w:r>
      <w:r>
        <w:t xml:space="preserve"> lockd</w:t>
      </w:r>
      <w:r w:rsidR="000D2950">
        <w:t>ow</w:t>
      </w:r>
      <w:r>
        <w:t xml:space="preserve">n.  </w:t>
      </w:r>
      <w:r w:rsidR="006D3CBA">
        <w:t>Note motor traffic down 35% (see above), but that is still over 400 veh/hour most of the time during working week</w:t>
      </w:r>
      <w:r w:rsidR="00E0255A">
        <w:t>.</w:t>
      </w:r>
    </w:p>
    <w:p w14:paraId="23B9DF45" w14:textId="7C795A97" w:rsidR="007445A8" w:rsidRPr="00E0255A" w:rsidRDefault="007445A8">
      <w:pPr>
        <w:rPr>
          <w:b/>
          <w:bCs/>
        </w:rPr>
      </w:pPr>
      <w:r w:rsidRPr="00E0255A">
        <w:rPr>
          <w:b/>
          <w:bCs/>
        </w:rPr>
        <w:t>How much midweek cycling is for transport, how much leisure?</w:t>
      </w:r>
    </w:p>
    <w:p w14:paraId="5695427F" w14:textId="525EF41F" w:rsidR="007445A8" w:rsidRDefault="007445A8">
      <w:r>
        <w:t>The shape of the time of day profile during lockdown is very different from pre-lockdown (see chart at start). Peak flows are depres</w:t>
      </w:r>
      <w:r w:rsidR="00E0255A">
        <w:t>s</w:t>
      </w:r>
      <w:r>
        <w:t>ed, particularly am. Flows during the day are if anything slightly up. Likely what we are seeing is a lo</w:t>
      </w:r>
      <w:r w:rsidR="00E0255A">
        <w:t>t</w:t>
      </w:r>
      <w:r>
        <w:t xml:space="preserve"> of “weekend” leisure cyc</w:t>
      </w:r>
      <w:r w:rsidR="00E0255A">
        <w:t>l</w:t>
      </w:r>
      <w:r>
        <w:t xml:space="preserve">ing all week.  Tried modelling flow profile for a weighted sum of pre lockdown and lockdown weekend profiles.  </w:t>
      </w:r>
    </w:p>
    <w:p w14:paraId="43C20BAB" w14:textId="67363D83" w:rsidR="007445A8" w:rsidRDefault="007445A8">
      <w:r>
        <w:rPr>
          <w:noProof/>
        </w:rPr>
        <w:lastRenderedPageBreak/>
        <w:drawing>
          <wp:inline distT="0" distB="0" distL="0" distR="0" wp14:anchorId="47E54C8C" wp14:editId="42B684C8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2E68FB3-3519-481C-95C6-E50FEC08AD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E2ACAC" w14:textId="0A1684AF" w:rsidR="007445A8" w:rsidRDefault="007445A8">
      <w:r>
        <w:t>Least square fi</w:t>
      </w:r>
      <w:r w:rsidR="00E0255A">
        <w:t>t</w:t>
      </w:r>
      <w:r>
        <w:t xml:space="preserve"> was for </w:t>
      </w:r>
      <w:r w:rsidR="005F08B5">
        <w:t xml:space="preserve">recorded lockdown </w:t>
      </w:r>
      <w:r>
        <w:t xml:space="preserve">weekday </w:t>
      </w:r>
      <w:r w:rsidR="005F08B5">
        <w:t>profile was</w:t>
      </w:r>
      <w:r>
        <w:t xml:space="preserve"> 33% of weekend flow plus 30% of pre-lockdown flow.  Fit is not very good.  But indicates that cyc</w:t>
      </w:r>
      <w:r w:rsidR="00E0255A">
        <w:t>l</w:t>
      </w:r>
      <w:r>
        <w:t>ing for transport ma</w:t>
      </w:r>
      <w:r w:rsidR="00E0255A">
        <w:t>y</w:t>
      </w:r>
      <w:r>
        <w:t xml:space="preserve"> be only 30% of pre-lockdown levels.  Flows at peak are rising, but need to be cautio</w:t>
      </w:r>
      <w:r w:rsidR="00E0255A">
        <w:t>u</w:t>
      </w:r>
      <w:r>
        <w:t>s in interpreting the total weekday flow as transport flow.  If cycling to work, to school etc is to contribute significantly to London’s workday travel we need to see a massive rise in weekday cycling.  So f</w:t>
      </w:r>
      <w:r w:rsidR="00E0255A">
        <w:t>a</w:t>
      </w:r>
      <w:r>
        <w:t>r the data indicate probably recovery to pre-lockdo</w:t>
      </w:r>
      <w:r w:rsidR="00E0255A">
        <w:t>w</w:t>
      </w:r>
      <w:r>
        <w:t>n levels, but not the 10-fold increase hoped for by some campaigners and politicians.</w:t>
      </w:r>
    </w:p>
    <w:p w14:paraId="21FE20E3" w14:textId="77777777" w:rsidR="00B62F6F" w:rsidRDefault="00B62F6F"/>
    <w:p w14:paraId="25EEA1A4" w14:textId="77777777" w:rsidR="00B62F6F" w:rsidRDefault="00B62F6F"/>
    <w:p w14:paraId="64DB5AC0" w14:textId="77777777" w:rsidR="00D12443" w:rsidRDefault="00D12443"/>
    <w:sectPr w:rsidR="00D12443" w:rsidSect="00605FF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B7B"/>
    <w:multiLevelType w:val="hybridMultilevel"/>
    <w:tmpl w:val="30882522"/>
    <w:lvl w:ilvl="0" w:tplc="E834A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64DE"/>
    <w:multiLevelType w:val="hybridMultilevel"/>
    <w:tmpl w:val="D616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43"/>
    <w:rsid w:val="000D21E9"/>
    <w:rsid w:val="000D2950"/>
    <w:rsid w:val="001851E9"/>
    <w:rsid w:val="001F2AA2"/>
    <w:rsid w:val="00232DD9"/>
    <w:rsid w:val="002E66E0"/>
    <w:rsid w:val="0031013B"/>
    <w:rsid w:val="00316AC6"/>
    <w:rsid w:val="003A225D"/>
    <w:rsid w:val="0044701B"/>
    <w:rsid w:val="00484D06"/>
    <w:rsid w:val="004B260D"/>
    <w:rsid w:val="0055743B"/>
    <w:rsid w:val="00560DDC"/>
    <w:rsid w:val="005F08B5"/>
    <w:rsid w:val="00601604"/>
    <w:rsid w:val="00605FF6"/>
    <w:rsid w:val="00627583"/>
    <w:rsid w:val="00696DB1"/>
    <w:rsid w:val="006D3CBA"/>
    <w:rsid w:val="0071667D"/>
    <w:rsid w:val="007445A8"/>
    <w:rsid w:val="00857B94"/>
    <w:rsid w:val="00884417"/>
    <w:rsid w:val="008A0023"/>
    <w:rsid w:val="009D6D0A"/>
    <w:rsid w:val="00A86029"/>
    <w:rsid w:val="00AA6813"/>
    <w:rsid w:val="00B62F6F"/>
    <w:rsid w:val="00CC6717"/>
    <w:rsid w:val="00D12443"/>
    <w:rsid w:val="00D66F2F"/>
    <w:rsid w:val="00D86F93"/>
    <w:rsid w:val="00E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1487"/>
  <w15:chartTrackingRefBased/>
  <w15:docId w15:val="{F319A729-070D-4447-B395-D4B39F0E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4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ontent.tfl.gov.uk/traffic-note-3-cordon-and-screenline-surveys-201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Cycling\Cycling%20Stats\MyCounts\Dockhead_Lockdown_Coun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Cycling\Cycling%20Stats\MyCounts\Model_Lockdown_Flo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Cycle mode share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4456036745406818E-2"/>
          <c:y val="0.10995579133510169"/>
          <c:w val="0.88498840769903764"/>
          <c:h val="0.72709677868515776"/>
        </c:manualLayout>
      </c:layout>
      <c:scatterChart>
        <c:scatterStyle val="lineMarker"/>
        <c:varyColors val="0"/>
        <c:ser>
          <c:idx val="0"/>
          <c:order val="0"/>
          <c:tx>
            <c:strRef>
              <c:f>Trends!$F$4</c:f>
              <c:strCache>
                <c:ptCount val="1"/>
                <c:pt idx="0">
                  <c:v>am peak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Trends!$A$5:$A$17</c:f>
              <c:numCache>
                <c:formatCode>d\-mmm\-yy</c:formatCode>
                <c:ptCount val="13"/>
                <c:pt idx="0">
                  <c:v>43951</c:v>
                </c:pt>
                <c:pt idx="1">
                  <c:v>43952</c:v>
                </c:pt>
                <c:pt idx="2">
                  <c:v>43957</c:v>
                </c:pt>
                <c:pt idx="3">
                  <c:v>43964</c:v>
                </c:pt>
                <c:pt idx="4">
                  <c:v>43965</c:v>
                </c:pt>
                <c:pt idx="5">
                  <c:v>43969</c:v>
                </c:pt>
                <c:pt idx="6">
                  <c:v>43970</c:v>
                </c:pt>
                <c:pt idx="7">
                  <c:v>43971</c:v>
                </c:pt>
                <c:pt idx="8">
                  <c:v>43978</c:v>
                </c:pt>
                <c:pt idx="9">
                  <c:v>43979</c:v>
                </c:pt>
                <c:pt idx="10">
                  <c:v>43984</c:v>
                </c:pt>
                <c:pt idx="11">
                  <c:v>43991</c:v>
                </c:pt>
                <c:pt idx="12">
                  <c:v>43992</c:v>
                </c:pt>
              </c:numCache>
            </c:numRef>
          </c:xVal>
          <c:yVal>
            <c:numRef>
              <c:f>Trends!$F$5:$F$17</c:f>
              <c:numCache>
                <c:formatCode>0%</c:formatCode>
                <c:ptCount val="13"/>
                <c:pt idx="0">
                  <c:v>0.26153846153846155</c:v>
                </c:pt>
                <c:pt idx="1">
                  <c:v>0.3235294117647059</c:v>
                </c:pt>
                <c:pt idx="2">
                  <c:v>0.29629629629629628</c:v>
                </c:pt>
                <c:pt idx="3">
                  <c:v>0.27532467532467531</c:v>
                </c:pt>
                <c:pt idx="5">
                  <c:v>0.3707865168539326</c:v>
                </c:pt>
                <c:pt idx="6">
                  <c:v>0.34055727554179571</c:v>
                </c:pt>
                <c:pt idx="7">
                  <c:v>0.37566137566137564</c:v>
                </c:pt>
                <c:pt idx="9">
                  <c:v>0.37830687830687826</c:v>
                </c:pt>
                <c:pt idx="11">
                  <c:v>0.36426116838487971</c:v>
                </c:pt>
                <c:pt idx="12">
                  <c:v>0.38590604026845637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105-4DA5-A66E-AE4016C53196}"/>
            </c:ext>
          </c:extLst>
        </c:ser>
        <c:ser>
          <c:idx val="1"/>
          <c:order val="1"/>
          <c:tx>
            <c:strRef>
              <c:f>Trends!$G$4</c:f>
              <c:strCache>
                <c:ptCount val="1"/>
                <c:pt idx="0">
                  <c:v>pm peak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Trends!$A$5:$A$16</c:f>
              <c:numCache>
                <c:formatCode>d\-mmm\-yy</c:formatCode>
                <c:ptCount val="12"/>
                <c:pt idx="0">
                  <c:v>43951</c:v>
                </c:pt>
                <c:pt idx="1">
                  <c:v>43952</c:v>
                </c:pt>
                <c:pt idx="2">
                  <c:v>43957</c:v>
                </c:pt>
                <c:pt idx="3">
                  <c:v>43964</c:v>
                </c:pt>
                <c:pt idx="4">
                  <c:v>43965</c:v>
                </c:pt>
                <c:pt idx="5">
                  <c:v>43969</c:v>
                </c:pt>
                <c:pt idx="6">
                  <c:v>43970</c:v>
                </c:pt>
                <c:pt idx="7">
                  <c:v>43971</c:v>
                </c:pt>
                <c:pt idx="8">
                  <c:v>43978</c:v>
                </c:pt>
                <c:pt idx="9">
                  <c:v>43979</c:v>
                </c:pt>
                <c:pt idx="10">
                  <c:v>43984</c:v>
                </c:pt>
                <c:pt idx="11">
                  <c:v>43991</c:v>
                </c:pt>
              </c:numCache>
            </c:numRef>
          </c:xVal>
          <c:yVal>
            <c:numRef>
              <c:f>Trends!$G$5:$G$16</c:f>
              <c:numCache>
                <c:formatCode>General</c:formatCode>
                <c:ptCount val="12"/>
                <c:pt idx="0" formatCode="0%">
                  <c:v>0.30769230769230771</c:v>
                </c:pt>
                <c:pt idx="4" formatCode="0%">
                  <c:v>0.39847715736040606</c:v>
                </c:pt>
                <c:pt idx="6" formatCode="0%">
                  <c:v>0.55451713395638635</c:v>
                </c:pt>
                <c:pt idx="7" formatCode="0%">
                  <c:v>0.52441613588110403</c:v>
                </c:pt>
                <c:pt idx="8" formatCode="0%">
                  <c:v>0.53556485355648531</c:v>
                </c:pt>
                <c:pt idx="9" formatCode="0%">
                  <c:v>0.59090909090909094</c:v>
                </c:pt>
                <c:pt idx="10" formatCode="0%">
                  <c:v>0.54893617021276597</c:v>
                </c:pt>
                <c:pt idx="11" formatCode="0%">
                  <c:v>0.56956521739130439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105-4DA5-A66E-AE4016C531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71088"/>
        <c:axId val="2027682848"/>
      </c:scatterChart>
      <c:valAx>
        <c:axId val="9871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d\-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7682848"/>
        <c:crosses val="autoZero"/>
        <c:crossBetween val="midCat"/>
      </c:valAx>
      <c:valAx>
        <c:axId val="202768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710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055555555555554"/>
          <c:y val="0.54425865201863033"/>
          <c:w val="0.33611111111111114"/>
          <c:h val="0.29310386599553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Midweek flows. Recorded v. model,</a:t>
            </a:r>
            <a:r>
              <a:rPr lang="en-GB" sz="1200" baseline="0"/>
              <a:t> 0.3Pre+0.33Post(Weekend)</a:t>
            </a:r>
            <a:endParaRPr lang="en-GB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9247594050743664E-2"/>
          <c:y val="0.17171296296296296"/>
          <c:w val="0.84764107611548556"/>
          <c:h val="0.72088764946048411"/>
        </c:manualLayout>
      </c:layout>
      <c:scatterChart>
        <c:scatterStyle val="lineMarker"/>
        <c:varyColors val="0"/>
        <c:ser>
          <c:idx val="0"/>
          <c:order val="0"/>
          <c:tx>
            <c:v>Recorded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Sheet1!$A$5:$A$23</c:f>
              <c:numCache>
                <c:formatCode>h:mm</c:formatCode>
                <c:ptCount val="19"/>
                <c:pt idx="0">
                  <c:v>0.22916666666666666</c:v>
                </c:pt>
                <c:pt idx="1">
                  <c:v>0.27083333333333331</c:v>
                </c:pt>
                <c:pt idx="2">
                  <c:v>0.3125</c:v>
                </c:pt>
                <c:pt idx="3">
                  <c:v>0.35416666666666702</c:v>
                </c:pt>
                <c:pt idx="4">
                  <c:v>0.39583333333333398</c:v>
                </c:pt>
                <c:pt idx="5">
                  <c:v>0.4375</c:v>
                </c:pt>
                <c:pt idx="6">
                  <c:v>0.47916666666666702</c:v>
                </c:pt>
                <c:pt idx="7">
                  <c:v>0.52083333333333404</c:v>
                </c:pt>
                <c:pt idx="8">
                  <c:v>0.5625</c:v>
                </c:pt>
                <c:pt idx="9">
                  <c:v>0.60416666666666696</c:v>
                </c:pt>
                <c:pt idx="10">
                  <c:v>0.64583333333333404</c:v>
                </c:pt>
                <c:pt idx="11">
                  <c:v>0.6875</c:v>
                </c:pt>
                <c:pt idx="12">
                  <c:v>0.72916666666666696</c:v>
                </c:pt>
                <c:pt idx="13">
                  <c:v>0.77083333333333404</c:v>
                </c:pt>
                <c:pt idx="14">
                  <c:v>0.8125</c:v>
                </c:pt>
                <c:pt idx="15">
                  <c:v>0.85416666666666696</c:v>
                </c:pt>
                <c:pt idx="16">
                  <c:v>0.89583333333333204</c:v>
                </c:pt>
                <c:pt idx="17">
                  <c:v>0.937499999999998</c:v>
                </c:pt>
                <c:pt idx="18">
                  <c:v>0.97916666666666397</c:v>
                </c:pt>
              </c:numCache>
            </c:numRef>
          </c:xVal>
          <c:yVal>
            <c:numRef>
              <c:f>Sheet1!$B$5:$B$23</c:f>
              <c:numCache>
                <c:formatCode>General</c:formatCode>
                <c:ptCount val="19"/>
                <c:pt idx="0">
                  <c:v>0</c:v>
                </c:pt>
                <c:pt idx="1">
                  <c:v>120</c:v>
                </c:pt>
                <c:pt idx="2">
                  <c:v>200</c:v>
                </c:pt>
                <c:pt idx="3">
                  <c:v>240</c:v>
                </c:pt>
                <c:pt idx="4">
                  <c:v>175</c:v>
                </c:pt>
                <c:pt idx="5">
                  <c:v>175</c:v>
                </c:pt>
                <c:pt idx="6">
                  <c:v>180</c:v>
                </c:pt>
                <c:pt idx="7">
                  <c:v>200</c:v>
                </c:pt>
                <c:pt idx="8">
                  <c:v>215</c:v>
                </c:pt>
                <c:pt idx="9">
                  <c:v>230</c:v>
                </c:pt>
                <c:pt idx="10">
                  <c:v>280</c:v>
                </c:pt>
                <c:pt idx="11">
                  <c:v>330</c:v>
                </c:pt>
                <c:pt idx="12">
                  <c:v>450</c:v>
                </c:pt>
                <c:pt idx="13">
                  <c:v>470</c:v>
                </c:pt>
                <c:pt idx="14">
                  <c:v>350</c:v>
                </c:pt>
                <c:pt idx="15">
                  <c:v>240</c:v>
                </c:pt>
                <c:pt idx="16">
                  <c:v>125</c:v>
                </c:pt>
                <c:pt idx="17">
                  <c:v>75</c:v>
                </c:pt>
                <c:pt idx="1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F99-400E-9322-DB68AAD240DF}"/>
            </c:ext>
          </c:extLst>
        </c:ser>
        <c:ser>
          <c:idx val="1"/>
          <c:order val="1"/>
          <c:tx>
            <c:v>Model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Sheet1!$H$30:$H$48</c:f>
              <c:numCache>
                <c:formatCode>h:mm</c:formatCode>
                <c:ptCount val="19"/>
                <c:pt idx="0">
                  <c:v>0.22916666666666666</c:v>
                </c:pt>
                <c:pt idx="1">
                  <c:v>0.27083333333333331</c:v>
                </c:pt>
                <c:pt idx="2">
                  <c:v>0.3125</c:v>
                </c:pt>
                <c:pt idx="3">
                  <c:v>0.35416666666666702</c:v>
                </c:pt>
                <c:pt idx="4">
                  <c:v>0.39583333333333398</c:v>
                </c:pt>
                <c:pt idx="5">
                  <c:v>0.4375</c:v>
                </c:pt>
                <c:pt idx="6">
                  <c:v>0.47916666666666702</c:v>
                </c:pt>
                <c:pt idx="7">
                  <c:v>0.52083333333333404</c:v>
                </c:pt>
                <c:pt idx="8">
                  <c:v>0.5625</c:v>
                </c:pt>
                <c:pt idx="9">
                  <c:v>0.60416666666666696</c:v>
                </c:pt>
                <c:pt idx="10">
                  <c:v>0.64583333333333404</c:v>
                </c:pt>
                <c:pt idx="11">
                  <c:v>0.6875</c:v>
                </c:pt>
                <c:pt idx="12">
                  <c:v>0.72916666666666696</c:v>
                </c:pt>
                <c:pt idx="13">
                  <c:v>0.77083333333333404</c:v>
                </c:pt>
                <c:pt idx="14">
                  <c:v>0.8125</c:v>
                </c:pt>
                <c:pt idx="15">
                  <c:v>0.85416666666666696</c:v>
                </c:pt>
                <c:pt idx="16">
                  <c:v>0.89583333333333404</c:v>
                </c:pt>
                <c:pt idx="17">
                  <c:v>0.9375</c:v>
                </c:pt>
                <c:pt idx="18">
                  <c:v>0.97916666666666696</c:v>
                </c:pt>
              </c:numCache>
            </c:numRef>
          </c:xVal>
          <c:yVal>
            <c:numRef>
              <c:f>Sheet1!$L$30:$L$48</c:f>
              <c:numCache>
                <c:formatCode>0</c:formatCode>
                <c:ptCount val="19"/>
                <c:pt idx="0">
                  <c:v>30</c:v>
                </c:pt>
                <c:pt idx="1">
                  <c:v>109.8</c:v>
                </c:pt>
                <c:pt idx="2">
                  <c:v>200.87523734530188</c:v>
                </c:pt>
                <c:pt idx="3">
                  <c:v>344.85486717142066</c:v>
                </c:pt>
                <c:pt idx="4">
                  <c:v>240</c:v>
                </c:pt>
                <c:pt idx="5">
                  <c:v>195.60000000000002</c:v>
                </c:pt>
                <c:pt idx="6">
                  <c:v>215.25</c:v>
                </c:pt>
                <c:pt idx="7">
                  <c:v>248.25</c:v>
                </c:pt>
                <c:pt idx="8">
                  <c:v>269.70000000000005</c:v>
                </c:pt>
                <c:pt idx="9">
                  <c:v>289.5</c:v>
                </c:pt>
                <c:pt idx="10">
                  <c:v>293.70000000000005</c:v>
                </c:pt>
                <c:pt idx="11">
                  <c:v>311.39999999999998</c:v>
                </c:pt>
                <c:pt idx="12">
                  <c:v>371.75967882379211</c:v>
                </c:pt>
                <c:pt idx="13">
                  <c:v>391.73496824033191</c:v>
                </c:pt>
                <c:pt idx="14">
                  <c:v>242.74999999999974</c:v>
                </c:pt>
                <c:pt idx="15">
                  <c:v>154.1999999999999</c:v>
                </c:pt>
                <c:pt idx="16">
                  <c:v>102.00000000000001</c:v>
                </c:pt>
                <c:pt idx="17">
                  <c:v>63</c:v>
                </c:pt>
                <c:pt idx="1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F99-400E-9322-DB68AAD24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1855711"/>
        <c:axId val="269706575"/>
      </c:scatterChart>
      <c:valAx>
        <c:axId val="401855711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h: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9706575"/>
        <c:crosses val="autoZero"/>
        <c:crossBetween val="midCat"/>
        <c:majorUnit val="8.3350000000000007E-2"/>
      </c:valAx>
      <c:valAx>
        <c:axId val="269706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855711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1390244969378832"/>
          <c:y val="0.15819371536891222"/>
          <c:w val="0.18054199475065616"/>
          <c:h val="0.156251093613298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Lynn</dc:creator>
  <cp:keywords/>
  <dc:description/>
  <cp:lastModifiedBy>Bruce Lynn</cp:lastModifiedBy>
  <cp:revision>3</cp:revision>
  <dcterms:created xsi:type="dcterms:W3CDTF">2020-06-11T18:42:00Z</dcterms:created>
  <dcterms:modified xsi:type="dcterms:W3CDTF">2020-06-11T18:45:00Z</dcterms:modified>
</cp:coreProperties>
</file>